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117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DOTAZ č. 1</w:t>
      </w:r>
    </w:p>
    <w:p w14:paraId="0A6A3EAE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zadávacích podmínkách je uveden termín podpisu smlouvy do 24.8.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2020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Předání staveniště 1.9.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2021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ukončení prací do 31.10.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2021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8F34618" w14:textId="77777777" w:rsid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Opravdu zadavatel předpokládá realizaci této akce až v roce 2021?</w:t>
      </w:r>
    </w:p>
    <w:p w14:paraId="17D4D8FE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 Termíny realizace souhlasí. Oprava komunikace je na dotaci z MMR, výsledek VŘ je nutné doložit do 31.8.2020. V létě roku 2021 bude společnost SVS, a.s. dělat rekonstrukci vodovodu (od 1.7.2021 – 31.8.2021)</w:t>
      </w:r>
      <w:r w:rsid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5B954CAE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</w:t>
      </w:r>
    </w:p>
    <w:p w14:paraId="09ABA933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technologickém postupu v návrhu opravy je uvedeno, že: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„Stávající asfaltový kryt bude odfrézován v </w:t>
      </w:r>
      <w:r w:rsidRPr="00AC1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tl.50mm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(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s-CZ"/>
        </w:rPr>
        <w:t xml:space="preserve">v </w:t>
      </w:r>
      <w:proofErr w:type="spellStart"/>
      <w:proofErr w:type="gramStart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s-CZ"/>
        </w:rPr>
        <w:t>tl.nově</w:t>
      </w:r>
      <w:proofErr w:type="spellEnd"/>
      <w:proofErr w:type="gramEnd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s-CZ"/>
        </w:rPr>
        <w:t xml:space="preserve"> pokládané vrstvy vozovky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)..“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 a dále, že: </w:t>
      </w:r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„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…</w:t>
      </w:r>
      <w:proofErr w:type="gramEnd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následně bude položena obrusná vrstva ze </w:t>
      </w:r>
      <w:proofErr w:type="spellStart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směsy</w:t>
      </w:r>
      <w:proofErr w:type="spellEnd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ACO11+ v </w:t>
      </w:r>
      <w:r w:rsidRPr="00AC1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tl.40mm.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“</w:t>
      </w:r>
    </w:p>
    <w:p w14:paraId="1986B1EB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Vzhledem k tomu, že zadavatel požaduje zachování nivelity stávající vozovky, může zadavatel prověřit a případně opravit výše uvedený text v technologickém postupu a rovněž i stávající slepý výkaz výměr?</w:t>
      </w:r>
    </w:p>
    <w:p w14:paraId="5F64342C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811969"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</w:t>
      </w:r>
      <w:r w:rsidR="00811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 w:rsidR="005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Frézování vozovky bude </w:t>
      </w:r>
      <w:proofErr w:type="spellStart"/>
      <w:r w:rsidR="005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tl</w:t>
      </w:r>
      <w:proofErr w:type="spellEnd"/>
      <w:r w:rsidR="005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40 mm</w:t>
      </w:r>
      <w:r w:rsidR="00B2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Upraveno ve výkazu výměr</w:t>
      </w:r>
    </w:p>
    <w:p w14:paraId="223277D8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</w:p>
    <w:p w14:paraId="052C569D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Žádáme zadavatele o vysvětlení/ upřesnění položky č.2 ve výkazu výměr.</w:t>
      </w:r>
    </w:p>
    <w:p w14:paraId="110380E8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4E74FCC7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noProof/>
          <w:color w:val="000000" w:themeColor="text1"/>
          <w:lang w:eastAsia="cs-CZ"/>
        </w:rPr>
        <w:drawing>
          <wp:inline distT="0" distB="0" distL="0" distR="0" wp14:anchorId="686BBB50" wp14:editId="07FDDE55">
            <wp:extent cx="5608320" cy="175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367B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4AC104DE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textu položky je uvedeno vyspravení výtluku </w:t>
      </w:r>
      <w:proofErr w:type="spell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asf</w:t>
      </w:r>
      <w:proofErr w:type="spell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recyklátem. Tím zadavatel myslí „zasypání“ výtluků podkladní vrstvy odfrézovaným asfaltem s uválcováním? Takové technické řešení je dle našeho názoru jednoznačně nevhodné, protože takto se opravovaná podkladní vrstva se stávajícím podkladem dostatečně nespojí a po provedení obrusné vrstvy v tl.4 (</w:t>
      </w:r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5)cm</w:t>
      </w:r>
      <w:proofErr w:type="gram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vznikne v brzké době na stejném místě výtluk nový. </w:t>
      </w:r>
    </w:p>
    <w:p w14:paraId="69E49FF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Případně zadavatel v této položce uvažoval s opravou výtluku asfaltovým betonem pro ložní vrstvu ACL16 s příměsí </w:t>
      </w:r>
      <w:proofErr w:type="spell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asf.recyklátu</w:t>
      </w:r>
      <w:proofErr w:type="spell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? Pokud zadavatel uvažoval s opravou podkladu ložní vrstvou ACL16, opraví text položky výkazu výměr?</w:t>
      </w:r>
    </w:p>
    <w:p w14:paraId="02D9FFCF" w14:textId="0DE0078A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811969"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</w:t>
      </w:r>
      <w:r w:rsidR="00811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Jedná se o opravu výtluků asfaltovým betonem pro ložní </w:t>
      </w:r>
      <w:proofErr w:type="spellStart"/>
      <w:r w:rsidR="00811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vrtsvu</w:t>
      </w:r>
      <w:proofErr w:type="spellEnd"/>
      <w:r w:rsidR="00811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ACL16 s příměsí asfalt. </w:t>
      </w:r>
      <w:proofErr w:type="gramStart"/>
      <w:r w:rsidR="00B2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recyklát </w:t>
      </w:r>
      <w:r w:rsidR="00DF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</w:t>
      </w:r>
      <w:proofErr w:type="gramEnd"/>
      <w:r w:rsidR="00DF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</w:t>
      </w:r>
      <w:r w:rsidR="00B2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praveno ve výkazu výměr</w:t>
      </w:r>
    </w:p>
    <w:p w14:paraId="00374E58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4</w:t>
      </w:r>
    </w:p>
    <w:p w14:paraId="64C5248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Ve výše uvedené položce č.2 výkazu výměr rovněž chybí uvedení tloušťky opravované vrstvy a konkrétní předpokládané výměry. Tak, jak je stávající položka uvedena, tzn. bez 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předpokládané tloušťky opravované vrstvy a bez uvedení konkrétní předpokládané opravované plochy (pouze s výměrou 1komplet), nelze položku ocenit a zadavatel v žádném případě není schopen objektivně vyhodnotit jednotlivé nabídky uchazečů.</w:t>
      </w:r>
    </w:p>
    <w:p w14:paraId="7A17B72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Žádáme proto zadavatele o úpravu stávající položky doplněním předpokládané tloušťky a výměry.</w:t>
      </w:r>
    </w:p>
    <w:p w14:paraId="7ADAAB8F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tak zadavatel neučiní, nabídky všech uchazečů budou zpracovány na základě netransparentních podkladů, tím pádem není zachován přístup rovného zacházení při jejich hodnocení a může nám vzniknout újma a to jak na případném ušlém zisku, tak i na možnosti získat další kladnou referenci za řádně realizované dílo, což je v rozporu s §6 zákona č.134/2016 Sb.</w:t>
      </w:r>
    </w:p>
    <w:p w14:paraId="31F47CF8" w14:textId="77777777" w:rsidR="0057352E" w:rsidRDefault="0057352E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: </w:t>
      </w:r>
      <w:r w:rsidR="00B2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upraveno ve výkazu výměr</w:t>
      </w:r>
    </w:p>
    <w:p w14:paraId="0B6AFED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5</w:t>
      </w:r>
    </w:p>
    <w:p w14:paraId="22BFB2FC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Žádáme zadavatele o vysvětlení/ upřesnění, co má být předmětem položky č.19 ve výkazu výměr.</w:t>
      </w:r>
    </w:p>
    <w:p w14:paraId="2F423375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19BCD50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noProof/>
          <w:color w:val="000000" w:themeColor="text1"/>
          <w:lang w:eastAsia="cs-CZ"/>
        </w:rPr>
        <w:drawing>
          <wp:inline distT="0" distB="0" distL="0" distR="0" wp14:anchorId="3147166E" wp14:editId="0F34529B">
            <wp:extent cx="5608320" cy="175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A9AF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178BA29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Jedná se o vyčíslení nákladů spojených s komunikací zhotovitele s technickým dozorem investora nebo zadavatel předpokládá ocenění nákladů spojených s prováděním technického dozoru investora? Upozorňujeme, že technický dozor investora bude provádět třetí strana, se kterou uchazeč nemá žádný smluvní vztah, a tudíž tyto případné náklady není uchazeč ve své nabídce schopen ocenit.</w:t>
      </w:r>
    </w:p>
    <w:p w14:paraId="62E9A384" w14:textId="276DD66A" w:rsidR="00AC1F0A" w:rsidRPr="0057352E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54D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 </w:t>
      </w:r>
      <w:r w:rsidR="00554DB5" w:rsidRPr="00554D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Odpověď:</w:t>
      </w:r>
      <w:r w:rsidR="005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5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Neoceňovat. TDI zajišťuje zadavatel</w:t>
      </w:r>
      <w:r w:rsidR="00DF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upraveno ve výkazu výměr</w:t>
      </w:r>
    </w:p>
    <w:p w14:paraId="3832FA4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6</w:t>
      </w:r>
    </w:p>
    <w:p w14:paraId="16B89B9D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 zadávacích a obchodních podmínkách v odst.č.9 je v hodnotících kritériích uvedeno, že: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„Základním kritériem pro zadání veřejné zakázky je </w:t>
      </w:r>
      <w:r w:rsidRPr="00AC1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>nejnižší nabídková cena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a přihlédnuto bude k záruční lhůtě.“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Dle našeho názoru uvedený způsob hodnocení veřejných zakázek tak, že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„bude přihlédnuto k záruční lhůtě“,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zcela vágní a již dopředu zadává pochybnost o transparentnosti výběru nabídky konkrétního uchazeče, což je v rozporu s §6 zákona č.134/2016 </w:t>
      </w:r>
      <w:proofErr w:type="spellStart"/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Sb</w:t>
      </w:r>
      <w:proofErr w:type="spell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.</w:t>
      </w:r>
      <w:proofErr w:type="gram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Domníváme se, že pokud zadavatel trvá na výběru konkrétního uchazeče i s přihlédnutím na délku záruční lhůty, je třeba jednoznačně stanovit kritéria hodnocení výběru. Jasně stanovit váhu jednotlivých kritérii (nejnižší cena, délka záruční lhůty) a dále uvést způsob výpočtu výhodnosti konkrétních nabídek u jednotlivých kritérií. </w:t>
      </w:r>
    </w:p>
    <w:p w14:paraId="43368863" w14:textId="77777777" w:rsidR="005E007C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Upraví zadavatel zadávací a obchodní podmínky, aby byly v souladu s §6 zákona č.134/2016?  </w:t>
      </w:r>
    </w:p>
    <w:p w14:paraId="1E1B1A34" w14:textId="77777777" w:rsidR="00AC1F0A" w:rsidRPr="00AC1F0A" w:rsidRDefault="005E007C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lastRenderedPageBreak/>
        <w:t>Odpověď: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Zadavatel tímto upravuje ZD, základním kritériem při vyhodnocování nabídek je pouze </w:t>
      </w:r>
      <w:r w:rsidRP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nejnižší nabídková cena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AC1F0A"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  </w:t>
      </w:r>
    </w:p>
    <w:p w14:paraId="10C9075F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C901F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Můžete potvrdit, že frézování původního krytu bude provedeno v 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50 mm a pokládka nové obrusné vrstvy pouze v. 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. 40 mm ?</w:t>
      </w:r>
    </w:p>
    <w:p w14:paraId="47A1A91D" w14:textId="77777777" w:rsidR="00811969" w:rsidRDefault="00811969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viz. dotaz č.2</w:t>
      </w:r>
    </w:p>
    <w:p w14:paraId="1FE18BB0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proofErr w:type="gramStart"/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vysvětlit rozpor mezi požadavkem na kryt ( obrusnou vrstvu) ACO s modifikovaným pojivem a spojovacím postřikem nemodifikovaným ?</w:t>
      </w:r>
    </w:p>
    <w:p w14:paraId="2AB8A3B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i rozpor mezi technologickým postupem – označení směsi ACO 11 +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( modifikace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zmíněna) a výkazem výměr ACO 11 S modifikovaný.</w:t>
      </w:r>
    </w:p>
    <w:p w14:paraId="086DC04F" w14:textId="77777777" w:rsidR="00752A57" w:rsidRDefault="00AC1F0A" w:rsidP="0075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54DB5" w:rsidRPr="00554DB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Odpověď:</w:t>
      </w:r>
      <w:r w:rsidR="00554DB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752A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upřesnění konstrukce </w:t>
      </w:r>
    </w:p>
    <w:p w14:paraId="757750D7" w14:textId="77777777" w:rsidR="00752A57" w:rsidRDefault="00752A57" w:rsidP="0075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A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Asfaltový beton pro obrusnou vrstvu ACO 11 S 40 mm </w:t>
      </w:r>
    </w:p>
    <w:p w14:paraId="7D654682" w14:textId="77777777" w:rsidR="00AC1F0A" w:rsidRDefault="00752A57" w:rsidP="0075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A57">
        <w:rPr>
          <w:rFonts w:ascii="Times New Roman" w:eastAsia="Times New Roman" w:hAnsi="Times New Roman" w:cs="Times New Roman"/>
          <w:sz w:val="24"/>
          <w:szCs w:val="24"/>
          <w:lang w:eastAsia="cs-CZ"/>
        </w:rPr>
        <w:t>- Spojovací postřik emulzní PS-C 0,35 kg/m</w:t>
      </w:r>
      <w:r w:rsidRPr="00752A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52A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14ED38D" w14:textId="77777777" w:rsidR="00B27359" w:rsidRPr="00752A57" w:rsidRDefault="00B27359" w:rsidP="0075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Opraveno ve výkazu výměr</w:t>
      </w:r>
    </w:p>
    <w:p w14:paraId="3816987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proofErr w:type="gramStart"/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předložit zkoušky vrstvy určené k frézování dle vyhlášky 130/2019 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?</w:t>
      </w:r>
    </w:p>
    <w:p w14:paraId="55E4220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znalostí výsledků zkoušek a zatřídění směsi určené k frézování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( PAU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– 4) nelze zodpovědně určit náklady na skládkovné. </w:t>
      </w:r>
    </w:p>
    <w:p w14:paraId="2BFAA96F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se jednalo o zatřídění PAU 3, nebo PAU 4 je cena za uložení nebezpečného odpadu velmi vysoká. </w:t>
      </w:r>
    </w:p>
    <w:p w14:paraId="4A42CBF5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souvislosti máme určité pochybnosti i o výpočtu hmotnosti položek 12 – 15 výkazu výměr. </w:t>
      </w:r>
    </w:p>
    <w:p w14:paraId="7F975E86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ploše 5.354 m2, 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50 mm a obecně používané hmotnosti 2,5 t/m3 vychází hmotnost vyfrézované směsi 669,250 t </w:t>
      </w:r>
    </w:p>
    <w:p w14:paraId="6D1249C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 uváděných 588,99 t.   </w:t>
      </w:r>
    </w:p>
    <w:p w14:paraId="71A5C82F" w14:textId="77777777" w:rsidR="00AC1F0A" w:rsidRPr="00B27359" w:rsidRDefault="00AC1F0A" w:rsidP="00B2735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2735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="00B27359" w:rsidRPr="00B2735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Odpověď:</w:t>
      </w:r>
      <w:r w:rsidR="00B2735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B27359" w:rsidRPr="00B27359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nebyly provedeny</w:t>
      </w:r>
      <w:r w:rsidR="00B273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Vzhledem k úpravě položky č. 1, oceňte položky 12-15 dle výkazu výměr. Skutečné objemy budou upřesněny při realizaci. </w:t>
      </w:r>
    </w:p>
    <w:p w14:paraId="7FFDB260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</w:p>
    <w:p w14:paraId="42B0FE18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má být naloženo s materiálem z odříznutí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krajnic ?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Výkaz výměr nepřepokládá naložení ani odvoz.</w:t>
      </w:r>
    </w:p>
    <w:p w14:paraId="1B10A3E1" w14:textId="77777777" w:rsidR="00FD7F28" w:rsidRPr="00554DB5" w:rsidRDefault="00554DB5">
      <w:pPr>
        <w:rPr>
          <w:rFonts w:ascii="Times New Roman" w:hAnsi="Times New Roman" w:cs="Times New Roman"/>
          <w:u w:val="single"/>
        </w:rPr>
      </w:pPr>
      <w:r w:rsidRPr="0057352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Odpověď:</w:t>
      </w:r>
      <w:r w:rsidRPr="00554DB5">
        <w:rPr>
          <w:rFonts w:ascii="Times New Roman" w:hAnsi="Times New Roman" w:cs="Times New Roman"/>
          <w:u w:val="single"/>
        </w:rPr>
        <w:t xml:space="preserve"> </w:t>
      </w:r>
      <w:r w:rsidRPr="0057352E">
        <w:rPr>
          <w:rFonts w:ascii="Times New Roman" w:hAnsi="Times New Roman" w:cs="Times New Roman"/>
          <w:sz w:val="24"/>
          <w:szCs w:val="24"/>
        </w:rPr>
        <w:t xml:space="preserve">bude </w:t>
      </w:r>
      <w:r w:rsidRPr="00B27359">
        <w:rPr>
          <w:rFonts w:ascii="Times New Roman" w:hAnsi="Times New Roman" w:cs="Times New Roman"/>
          <w:sz w:val="24"/>
          <w:szCs w:val="24"/>
          <w:u w:val="single"/>
        </w:rPr>
        <w:t>odvezeno</w:t>
      </w:r>
      <w:r w:rsidRPr="0057352E">
        <w:rPr>
          <w:rFonts w:ascii="Times New Roman" w:hAnsi="Times New Roman" w:cs="Times New Roman"/>
          <w:sz w:val="24"/>
          <w:szCs w:val="24"/>
        </w:rPr>
        <w:t xml:space="preserve"> na skládku</w:t>
      </w:r>
      <w:r w:rsidR="0057352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D7F28" w:rsidRPr="00554DB5" w:rsidSect="00D6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0A"/>
    <w:rsid w:val="003B44D3"/>
    <w:rsid w:val="003E37F5"/>
    <w:rsid w:val="00554DB5"/>
    <w:rsid w:val="0057352E"/>
    <w:rsid w:val="005E007C"/>
    <w:rsid w:val="00752A57"/>
    <w:rsid w:val="007A4584"/>
    <w:rsid w:val="00811969"/>
    <w:rsid w:val="008F67F4"/>
    <w:rsid w:val="00AC1F0A"/>
    <w:rsid w:val="00B27359"/>
    <w:rsid w:val="00D64F3A"/>
    <w:rsid w:val="00DF6491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1395"/>
  <w15:docId w15:val="{3C94EF1D-D0C0-4B44-8DBC-83B8431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dcterms:created xsi:type="dcterms:W3CDTF">2020-08-20T10:50:00Z</dcterms:created>
  <dcterms:modified xsi:type="dcterms:W3CDTF">2020-08-20T10:50:00Z</dcterms:modified>
</cp:coreProperties>
</file>